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5428C" w:rsidR="0045428C" w:rsidP="27625E75" w:rsidRDefault="0045428C" w14:paraId="728B94A9" w14:textId="2525A94A">
      <w:pPr>
        <w:pStyle w:val="Normal"/>
        <w:shd w:val="clear" w:color="auto" w:fill="FFFFFF" w:themeFill="background1"/>
        <w:spacing w:line="235" w:lineRule="atLeast"/>
        <w:jc w:val="center"/>
      </w:pPr>
      <w:r w:rsidRPr="27625E75" w:rsidR="0045428C">
        <w:rPr>
          <w:rFonts w:ascii="Calibri" w:hAnsi="Calibri" w:eastAsia="Times New Roman" w:cs="Calibri"/>
          <w:b w:val="1"/>
          <w:bCs w:val="1"/>
          <w:color w:val="000000" w:themeColor="text1" w:themeTint="FF" w:themeShade="FF"/>
          <w:sz w:val="32"/>
          <w:szCs w:val="32"/>
        </w:rPr>
        <w:t>3</w:t>
      </w:r>
      <w:r w:rsidRPr="27625E75" w:rsidR="0045428C">
        <w:rPr>
          <w:rFonts w:ascii="Calibri" w:hAnsi="Calibri" w:eastAsia="Times New Roman" w:cs="Calibri"/>
          <w:b w:val="1"/>
          <w:bCs w:val="1"/>
          <w:color w:val="000000" w:themeColor="text1" w:themeTint="FF" w:themeShade="FF"/>
          <w:sz w:val="32"/>
          <w:szCs w:val="32"/>
          <w:vertAlign w:val="superscript"/>
        </w:rPr>
        <w:t>rd</w:t>
      </w:r>
      <w:r w:rsidRPr="27625E75" w:rsidR="0045428C">
        <w:rPr>
          <w:rFonts w:ascii="Calibri" w:hAnsi="Calibri" w:eastAsia="Times New Roman" w:cs="Calibri"/>
          <w:b w:val="1"/>
          <w:bCs w:val="1"/>
          <w:color w:val="000000" w:themeColor="text1" w:themeTint="FF" w:themeShade="FF"/>
          <w:sz w:val="32"/>
          <w:szCs w:val="32"/>
        </w:rPr>
        <w:t> Grade Summer Learning</w:t>
      </w:r>
      <w:r w:rsidR="27625E75">
        <w:drawing>
          <wp:anchor distT="0" distB="0" distL="114300" distR="114300" simplePos="0" relativeHeight="251658240" behindDoc="0" locked="0" layoutInCell="1" allowOverlap="1" wp14:editId="44ED1EBF" wp14:anchorId="00F05CA9">
            <wp:simplePos x="0" y="0"/>
            <wp:positionH relativeFrom="column">
              <wp:align>right</wp:align>
            </wp:positionH>
            <wp:positionV relativeFrom="paragraph">
              <wp:posOffset>0</wp:posOffset>
            </wp:positionV>
            <wp:extent cx="1333500" cy="1247775"/>
            <wp:wrapSquare wrapText="bothSides"/>
            <wp:effectExtent l="0" t="0" r="0" b="0"/>
            <wp:docPr id="660758133" name="" title=""/>
            <wp:cNvGraphicFramePr>
              <a:graphicFrameLocks noChangeAspect="1"/>
            </wp:cNvGraphicFramePr>
            <a:graphic>
              <a:graphicData uri="http://schemas.openxmlformats.org/drawingml/2006/picture">
                <pic:pic>
                  <pic:nvPicPr>
                    <pic:cNvPr id="0" name=""/>
                    <pic:cNvPicPr/>
                  </pic:nvPicPr>
                  <pic:blipFill>
                    <a:blip r:embed="R9ae2f4b4c1b24aaa">
                      <a:extLst>
                        <a:ext xmlns:a="http://schemas.openxmlformats.org/drawingml/2006/main" uri="{28A0092B-C50C-407E-A947-70E740481C1C}">
                          <a14:useLocalDpi val="0"/>
                        </a:ext>
                      </a:extLst>
                    </a:blip>
                    <a:stretch>
                      <a:fillRect/>
                    </a:stretch>
                  </pic:blipFill>
                  <pic:spPr>
                    <a:xfrm>
                      <a:off x="0" y="0"/>
                      <a:ext cx="1333500" cy="1247775"/>
                    </a:xfrm>
                    <a:prstGeom prst="rect">
                      <a:avLst/>
                    </a:prstGeom>
                  </pic:spPr>
                </pic:pic>
              </a:graphicData>
            </a:graphic>
            <wp14:sizeRelH relativeFrom="page">
              <wp14:pctWidth>0</wp14:pctWidth>
            </wp14:sizeRelH>
            <wp14:sizeRelV relativeFrom="page">
              <wp14:pctHeight>0</wp14:pctHeight>
            </wp14:sizeRelV>
          </wp:anchor>
        </w:drawing>
      </w:r>
    </w:p>
    <w:p w:rsidRPr="0045428C" w:rsidR="0045428C" w:rsidP="60F4EC10" w:rsidRDefault="0045428C" w14:paraId="07231D2E" w14:textId="11E791FA">
      <w:pPr>
        <w:shd w:val="clear" w:color="auto" w:fill="FFFFFF" w:themeFill="background1"/>
        <w:spacing w:after="0" w:line="235" w:lineRule="atLeast"/>
        <w:rPr>
          <w:rFonts w:ascii="Calibri" w:hAnsi="Calibri" w:eastAsia="Times New Roman" w:cs="Calibri"/>
          <w:color w:val="000000" w:themeColor="text1" w:themeTint="FF" w:themeShade="FF"/>
        </w:rPr>
      </w:pPr>
      <w:r w:rsidRPr="60F4EC10" w:rsidR="0045428C">
        <w:rPr>
          <w:rFonts w:ascii="Calibri" w:hAnsi="Calibri" w:eastAsia="Times New Roman" w:cs="Calibri"/>
          <w:color w:val="000000" w:themeColor="text1" w:themeTint="FF" w:themeShade="FF"/>
          <w:u w:val="single"/>
        </w:rPr>
        <w:t>Math Practice:</w:t>
      </w:r>
      <w:r w:rsidRPr="60F4EC10" w:rsidR="0045428C">
        <w:rPr>
          <w:rFonts w:ascii="Calibri" w:hAnsi="Calibri" w:eastAsia="Times New Roman" w:cs="Calibri"/>
          <w:color w:val="000000" w:themeColor="text1" w:themeTint="FF" w:themeShade="FF"/>
        </w:rPr>
        <w:t> </w:t>
      </w:r>
    </w:p>
    <w:p w:rsidRPr="0045428C" w:rsidR="0045428C" w:rsidP="60F4EC10" w:rsidRDefault="0045428C" w14:paraId="4ABB3506" w14:textId="652FC49B">
      <w:pPr>
        <w:pStyle w:val="ListParagraph"/>
        <w:numPr>
          <w:ilvl w:val="0"/>
          <w:numId w:val="1"/>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themeColor="text1" w:themeTint="FF" w:themeShade="FF"/>
          <w:sz w:val="22"/>
          <w:szCs w:val="22"/>
        </w:rPr>
      </w:pPr>
      <w:r w:rsidRPr="60F4EC10" w:rsidR="0045428C">
        <w:rPr>
          <w:rFonts w:ascii="Calibri" w:hAnsi="Calibri" w:eastAsia="Times New Roman" w:cs="Calibri"/>
          <w:color w:val="000000" w:themeColor="text1" w:themeTint="FF" w:themeShade="FF"/>
        </w:rPr>
        <w:t xml:space="preserve">Addition and subtraction up to 4 digits. Create practice problems to review with your child that include borrowing. </w:t>
      </w:r>
    </w:p>
    <w:p w:rsidRPr="0045428C" w:rsidR="0045428C" w:rsidP="60F4EC10" w:rsidRDefault="0045428C" w14:paraId="6FD30251" w14:textId="62BF63ED">
      <w:pPr>
        <w:pStyle w:val="ListParagraph"/>
        <w:numPr>
          <w:ilvl w:val="0"/>
          <w:numId w:val="1"/>
        </w:numPr>
        <w:shd w:val="clear" w:color="auto" w:fill="FFFFFF" w:themeFill="background1"/>
        <w:spacing w:after="0" w:line="235" w:lineRule="atLeast"/>
        <w:rPr>
          <w:color w:val="000000"/>
          <w:sz w:val="22"/>
          <w:szCs w:val="22"/>
        </w:rPr>
      </w:pPr>
      <w:r w:rsidRPr="60F4EC10" w:rsidR="5BFE43E8">
        <w:rPr>
          <w:rFonts w:ascii="Calibri" w:hAnsi="Calibri" w:eastAsia="Times New Roman" w:cs="Calibri"/>
          <w:color w:val="000000" w:themeColor="text1" w:themeTint="FF" w:themeShade="FF"/>
        </w:rPr>
        <w:t>A</w:t>
      </w:r>
      <w:r w:rsidRPr="60F4EC10" w:rsidR="0045428C">
        <w:rPr>
          <w:rFonts w:ascii="Calibri" w:hAnsi="Calibri" w:eastAsia="Times New Roman" w:cs="Calibri"/>
          <w:color w:val="000000" w:themeColor="text1" w:themeTint="FF" w:themeShade="FF"/>
        </w:rPr>
        <w:t xml:space="preserve">dding and </w:t>
      </w:r>
      <w:r w:rsidRPr="60F4EC10" w:rsidR="1C8E9A8A">
        <w:rPr>
          <w:rFonts w:ascii="Calibri" w:hAnsi="Calibri" w:eastAsia="Times New Roman" w:cs="Calibri"/>
          <w:color w:val="000000" w:themeColor="text1" w:themeTint="FF" w:themeShade="FF"/>
        </w:rPr>
        <w:t>S</w:t>
      </w:r>
      <w:r w:rsidRPr="60F4EC10" w:rsidR="0045428C">
        <w:rPr>
          <w:rFonts w:ascii="Calibri" w:hAnsi="Calibri" w:eastAsia="Times New Roman" w:cs="Calibri"/>
          <w:color w:val="000000" w:themeColor="text1" w:themeTint="FF" w:themeShade="FF"/>
        </w:rPr>
        <w:t>ubtracting decimals.</w:t>
      </w:r>
    </w:p>
    <w:p w:rsidRPr="0045428C" w:rsidR="0045428C" w:rsidP="60F4EC10" w:rsidRDefault="0045428C" w14:paraId="42E3C859" w14:textId="69BB266D">
      <w:pPr>
        <w:pStyle w:val="ListParagraph"/>
        <w:numPr>
          <w:ilvl w:val="0"/>
          <w:numId w:val="1"/>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themeColor="text1" w:themeTint="FF" w:themeShade="FF"/>
          <w:sz w:val="22"/>
          <w:szCs w:val="22"/>
        </w:rPr>
      </w:pPr>
      <w:r w:rsidRPr="60F4EC10" w:rsidR="58D9DB41">
        <w:rPr>
          <w:rFonts w:ascii="Calibri" w:hAnsi="Calibri" w:eastAsia="Times New Roman" w:cs="Calibri"/>
          <w:color w:val="000000" w:themeColor="text1" w:themeTint="FF" w:themeShade="FF"/>
        </w:rPr>
        <w:t xml:space="preserve">Memorize </w:t>
      </w:r>
      <w:r w:rsidRPr="60F4EC10" w:rsidR="0785AB86">
        <w:rPr>
          <w:rFonts w:ascii="Calibri" w:hAnsi="Calibri" w:eastAsia="Times New Roman" w:cs="Calibri"/>
          <w:color w:val="000000" w:themeColor="text1" w:themeTint="FF" w:themeShade="FF"/>
        </w:rPr>
        <w:t>‘times 12’ tables</w:t>
      </w:r>
      <w:r w:rsidRPr="60F4EC10" w:rsidR="0045428C">
        <w:rPr>
          <w:rFonts w:ascii="Calibri" w:hAnsi="Calibri" w:eastAsia="Times New Roman" w:cs="Calibri"/>
          <w:color w:val="000000" w:themeColor="text1" w:themeTint="FF" w:themeShade="FF"/>
        </w:rPr>
        <w:t xml:space="preserve">. </w:t>
      </w:r>
    </w:p>
    <w:p w:rsidRPr="0045428C" w:rsidR="0045428C" w:rsidP="60F4EC10" w:rsidRDefault="0045428C" w14:paraId="3D347D07" w14:textId="38F4CAB5">
      <w:pPr>
        <w:pStyle w:val="ListParagraph"/>
        <w:numPr>
          <w:ilvl w:val="0"/>
          <w:numId w:val="1"/>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themeColor="text1" w:themeTint="FF" w:themeShade="FF"/>
          <w:sz w:val="22"/>
          <w:szCs w:val="22"/>
        </w:rPr>
      </w:pPr>
      <w:r w:rsidRPr="60F4EC10" w:rsidR="333D3E56">
        <w:rPr>
          <w:rFonts w:ascii="Calibri" w:hAnsi="Calibri" w:eastAsia="Times New Roman" w:cs="Calibri"/>
          <w:color w:val="000000" w:themeColor="text1" w:themeTint="FF" w:themeShade="FF"/>
        </w:rPr>
        <w:t>Multiplication up to 2 by 2 digit</w:t>
      </w:r>
    </w:p>
    <w:p w:rsidRPr="0045428C" w:rsidR="0045428C" w:rsidP="60F4EC10" w:rsidRDefault="0045428C" w14:paraId="437EC56B" w14:textId="383EA5EF">
      <w:pPr>
        <w:pStyle w:val="ListParagraph"/>
        <w:numPr>
          <w:ilvl w:val="0"/>
          <w:numId w:val="1"/>
        </w:numPr>
        <w:shd w:val="clear" w:color="auto" w:fill="FFFFFF" w:themeFill="background1"/>
        <w:spacing w:after="0" w:line="235" w:lineRule="atLeast"/>
        <w:rPr>
          <w:color w:val="000000" w:themeColor="text1" w:themeTint="FF" w:themeShade="FF"/>
          <w:sz w:val="22"/>
          <w:szCs w:val="22"/>
        </w:rPr>
      </w:pPr>
      <w:r w:rsidRPr="60F4EC10" w:rsidR="333D3E56">
        <w:rPr>
          <w:rFonts w:ascii="Calibri" w:hAnsi="Calibri" w:eastAsia="Times New Roman" w:cs="Calibri"/>
          <w:color w:val="000000" w:themeColor="text1" w:themeTint="FF" w:themeShade="FF"/>
        </w:rPr>
        <w:t xml:space="preserve">Division up to 3-digit dividends and 1-digit divisors. </w:t>
      </w:r>
    </w:p>
    <w:p w:rsidRPr="0045428C" w:rsidR="0045428C" w:rsidP="60F4EC10" w:rsidRDefault="0045428C" w14:paraId="0D0CBF10" w14:textId="64A1F1C6">
      <w:pPr>
        <w:pStyle w:val="ListParagraph"/>
        <w:numPr>
          <w:ilvl w:val="0"/>
          <w:numId w:val="1"/>
        </w:numPr>
        <w:shd w:val="clear" w:color="auto" w:fill="FFFFFF" w:themeFill="background1"/>
        <w:spacing w:after="0" w:line="235" w:lineRule="atLeast"/>
        <w:rPr>
          <w:color w:val="000000"/>
          <w:sz w:val="22"/>
          <w:szCs w:val="22"/>
        </w:rPr>
      </w:pPr>
      <w:r w:rsidRPr="60F4EC10" w:rsidR="0045428C">
        <w:rPr>
          <w:rFonts w:ascii="Calibri" w:hAnsi="Calibri" w:eastAsia="Times New Roman" w:cs="Calibri"/>
          <w:color w:val="000000" w:themeColor="text1" w:themeTint="FF" w:themeShade="FF"/>
        </w:rPr>
        <w:t>Create</w:t>
      </w:r>
      <w:r w:rsidRPr="60F4EC10" w:rsidR="418B45BF">
        <w:rPr>
          <w:rFonts w:ascii="Calibri" w:hAnsi="Calibri" w:eastAsia="Times New Roman" w:cs="Calibri"/>
          <w:color w:val="000000" w:themeColor="text1" w:themeTint="FF" w:themeShade="FF"/>
        </w:rPr>
        <w:t xml:space="preserve"> division</w:t>
      </w:r>
      <w:r w:rsidRPr="60F4EC10" w:rsidR="0045428C">
        <w:rPr>
          <w:rFonts w:ascii="Calibri" w:hAnsi="Calibri" w:eastAsia="Times New Roman" w:cs="Calibri"/>
          <w:color w:val="000000" w:themeColor="text1" w:themeTint="FF" w:themeShade="FF"/>
        </w:rPr>
        <w:t xml:space="preserve"> practice problems that have whole number answers and</w:t>
      </w:r>
      <w:r w:rsidRPr="60F4EC10" w:rsidR="1EF854A2">
        <w:rPr>
          <w:rFonts w:ascii="Calibri" w:hAnsi="Calibri" w:eastAsia="Times New Roman" w:cs="Calibri"/>
          <w:color w:val="000000" w:themeColor="text1" w:themeTint="FF" w:themeShade="FF"/>
        </w:rPr>
        <w:t xml:space="preserve"> </w:t>
      </w:r>
      <w:r w:rsidRPr="60F4EC10" w:rsidR="0045428C">
        <w:rPr>
          <w:rFonts w:ascii="Calibri" w:hAnsi="Calibri" w:eastAsia="Times New Roman" w:cs="Calibri"/>
          <w:color w:val="000000" w:themeColor="text1" w:themeTint="FF" w:themeShade="FF"/>
        </w:rPr>
        <w:t>answers with remainders.</w:t>
      </w:r>
    </w:p>
    <w:p w:rsidRPr="0045428C" w:rsidR="0045428C" w:rsidP="0045428C" w:rsidRDefault="0045428C" w14:paraId="3D0A7000" w14:textId="77777777">
      <w:pPr>
        <w:shd w:val="clear" w:color="auto" w:fill="FFFFFF"/>
        <w:spacing w:after="0" w:line="235" w:lineRule="atLeast"/>
        <w:rPr>
          <w:rFonts w:ascii="Calibri" w:hAnsi="Calibri" w:eastAsia="Times New Roman" w:cs="Calibri"/>
          <w:color w:val="000000"/>
        </w:rPr>
      </w:pPr>
      <w:r w:rsidRPr="0045428C">
        <w:rPr>
          <w:rFonts w:ascii="Calibri" w:hAnsi="Calibri" w:eastAsia="Times New Roman" w:cs="Calibri"/>
          <w:color w:val="000000"/>
        </w:rPr>
        <w:t> </w:t>
      </w:r>
    </w:p>
    <w:p w:rsidRPr="0045428C" w:rsidR="0045428C" w:rsidP="60F4EC10" w:rsidRDefault="0045428C" w14:paraId="61B15E0F" w14:textId="596DACD2">
      <w:pPr>
        <w:shd w:val="clear" w:color="auto" w:fill="FFFFFF" w:themeFill="background1"/>
        <w:spacing w:after="0" w:line="235" w:lineRule="atLeast"/>
        <w:rPr>
          <w:rFonts w:ascii="Calibri" w:hAnsi="Calibri" w:eastAsia="Times New Roman" w:cs="Calibri"/>
          <w:color w:val="000000" w:themeColor="text1" w:themeTint="FF" w:themeShade="FF"/>
        </w:rPr>
      </w:pPr>
      <w:r w:rsidRPr="0045428C" w:rsidR="0045428C">
        <w:rPr>
          <w:rFonts w:ascii="Calibri" w:hAnsi="Calibri" w:eastAsia="Times New Roman" w:cs="Calibri"/>
          <w:color w:val="000000"/>
          <w:u w:val="single"/>
        </w:rPr>
        <w:t>Reading and Writing:</w:t>
      </w:r>
      <w:r w:rsidRPr="0045428C" w:rsidR="0045428C">
        <w:rPr>
          <w:rFonts w:ascii="Calibri" w:hAnsi="Calibri" w:eastAsia="Times New Roman" w:cs="Calibri"/>
          <w:color w:val="000000"/>
        </w:rPr>
        <w:t> </w:t>
      </w:r>
    </w:p>
    <w:p w:rsidRPr="0045428C" w:rsidR="0045428C" w:rsidP="60F4EC10" w:rsidRDefault="0045428C" w14:paraId="3590332E" w14:textId="67D4D35F">
      <w:pPr>
        <w:pStyle w:val="ListParagraph"/>
        <w:numPr>
          <w:ilvl w:val="0"/>
          <w:numId w:val="2"/>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themeColor="text1" w:themeTint="FF" w:themeShade="FF"/>
          <w:sz w:val="22"/>
          <w:szCs w:val="22"/>
        </w:rPr>
      </w:pPr>
      <w:r w:rsidRPr="0045428C" w:rsidR="0045428C">
        <w:rPr>
          <w:rFonts w:ascii="Calibri" w:hAnsi="Calibri" w:eastAsia="Times New Roman" w:cs="Calibri"/>
          <w:color w:val="000000"/>
        </w:rPr>
        <w:t xml:space="preserve">Read a wide variety of fiction and nonfiction over the summer. </w:t>
      </w:r>
    </w:p>
    <w:p w:rsidRPr="0045428C" w:rsidR="0045428C" w:rsidP="60F4EC10" w:rsidRDefault="0045428C" w14:paraId="30527784" w14:textId="5AC93876">
      <w:pPr>
        <w:pStyle w:val="ListParagraph"/>
        <w:numPr>
          <w:ilvl w:val="0"/>
          <w:numId w:val="2"/>
        </w:numPr>
        <w:shd w:val="clear" w:color="auto" w:fill="FFFFFF" w:themeFill="background1"/>
        <w:spacing w:after="0" w:line="235" w:lineRule="atLeast"/>
        <w:rPr>
          <w:color w:val="000000" w:themeColor="text1" w:themeTint="FF" w:themeShade="FF"/>
          <w:sz w:val="22"/>
          <w:szCs w:val="22"/>
        </w:rPr>
      </w:pPr>
      <w:r w:rsidRPr="0045428C" w:rsidR="0045428C">
        <w:rPr>
          <w:rFonts w:ascii="Calibri" w:hAnsi="Calibri" w:eastAsia="Times New Roman" w:cs="Calibri"/>
          <w:color w:val="000000"/>
        </w:rPr>
        <w:t>One resource for online reading is at </w:t>
      </w:r>
      <w:hyperlink w:tgtFrame="_blank" w:history="1" r:id="Rd43a5a4c76034e83">
        <w:r w:rsidRPr="0045428C" w:rsidR="0045428C">
          <w:rPr>
            <w:rFonts w:ascii="Calibri" w:hAnsi="Calibri" w:eastAsia="Times New Roman" w:cs="Calibri"/>
            <w:color w:val="0000FF"/>
            <w:u w:val="single"/>
            <w:bdr w:val="none" w:color="auto" w:sz="0" w:space="0" w:frame="1"/>
          </w:rPr>
          <w:t>https://www.getepic.com</w:t>
        </w:r>
      </w:hyperlink>
      <w:r w:rsidRPr="0045428C" w:rsidR="0045428C">
        <w:rPr>
          <w:rFonts w:ascii="Calibri" w:hAnsi="Calibri" w:eastAsia="Times New Roman" w:cs="Calibri"/>
          <w:color w:val="000000"/>
        </w:rPr>
        <w:t> </w:t>
      </w:r>
    </w:p>
    <w:p w:rsidRPr="0045428C" w:rsidR="0045428C" w:rsidP="60F4EC10" w:rsidRDefault="0045428C" w14:paraId="547789C3" w14:textId="77777777">
      <w:pPr>
        <w:pStyle w:val="ListParagraph"/>
        <w:numPr>
          <w:ilvl w:val="0"/>
          <w:numId w:val="2"/>
        </w:numPr>
        <w:shd w:val="clear" w:color="auto" w:fill="FFFFFF" w:themeFill="background1"/>
        <w:spacing w:after="0" w:line="235" w:lineRule="atLeast"/>
        <w:rPr>
          <w:color w:val="000000"/>
          <w:sz w:val="22"/>
          <w:szCs w:val="22"/>
        </w:rPr>
      </w:pPr>
      <w:r w:rsidRPr="0045428C" w:rsidR="0045428C">
        <w:rPr>
          <w:rFonts w:ascii="Calibri" w:hAnsi="Calibri" w:eastAsia="Times New Roman" w:cs="Calibri"/>
          <w:color w:val="000000"/>
        </w:rPr>
        <w:t>Summer writing practice can include writing a daily journal paragraph, book review, fiction story, poetry journal, or an opinion piece.</w:t>
      </w:r>
    </w:p>
    <w:p w:rsidRPr="0045428C" w:rsidR="0045428C" w:rsidP="0045428C" w:rsidRDefault="0045428C" w14:paraId="08ECEEE9" w14:textId="77777777">
      <w:pPr>
        <w:shd w:val="clear" w:color="auto" w:fill="FFFFFF"/>
        <w:spacing w:after="0" w:line="235" w:lineRule="atLeast"/>
        <w:rPr>
          <w:rFonts w:ascii="Calibri" w:hAnsi="Calibri" w:eastAsia="Times New Roman" w:cs="Calibri"/>
          <w:color w:val="000000"/>
        </w:rPr>
      </w:pPr>
      <w:r w:rsidRPr="0045428C">
        <w:rPr>
          <w:rFonts w:ascii="Calibri" w:hAnsi="Calibri" w:eastAsia="Times New Roman" w:cs="Calibri"/>
          <w:color w:val="000000"/>
        </w:rPr>
        <w:t> </w:t>
      </w:r>
    </w:p>
    <w:p w:rsidRPr="0045428C" w:rsidR="0045428C" w:rsidP="60F4EC10" w:rsidRDefault="0045428C" w14:paraId="6531F8E0" w14:textId="138B9884">
      <w:pPr>
        <w:shd w:val="clear" w:color="auto" w:fill="FFFFFF" w:themeFill="background1"/>
        <w:spacing w:after="0" w:line="235" w:lineRule="atLeast"/>
        <w:rPr>
          <w:rFonts w:ascii="Calibri" w:hAnsi="Calibri" w:eastAsia="Times New Roman" w:cs="Calibri"/>
          <w:color w:val="000000" w:themeColor="text1" w:themeTint="FF" w:themeShade="FF"/>
          <w:u w:val="single"/>
        </w:rPr>
      </w:pPr>
      <w:r w:rsidRPr="60F4EC10" w:rsidR="604EF54B">
        <w:rPr>
          <w:rFonts w:ascii="Calibri" w:hAnsi="Calibri" w:eastAsia="Times New Roman" w:cs="Calibri"/>
          <w:color w:val="000000"/>
          <w:u w:val="single"/>
        </w:rPr>
        <w:t>Common Core Standards for All Subjects:</w:t>
      </w:r>
    </w:p>
    <w:p w:rsidRPr="0045428C" w:rsidR="0045428C" w:rsidP="60F4EC10" w:rsidRDefault="0045428C" w14:paraId="049617CC" w14:textId="1F0E12F7">
      <w:pPr>
        <w:pStyle w:val="ListParagraph"/>
        <w:numPr>
          <w:ilvl w:val="0"/>
          <w:numId w:val="3"/>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sz w:val="22"/>
          <w:szCs w:val="22"/>
        </w:rPr>
      </w:pPr>
      <w:r w:rsidRPr="0045428C" w:rsidR="0045428C">
        <w:rPr>
          <w:rFonts w:ascii="Calibri" w:hAnsi="Calibri" w:eastAsia="Times New Roman" w:cs="Calibri"/>
          <w:color w:val="000000"/>
        </w:rPr>
        <w:t xml:space="preserve">View common core standards </w:t>
      </w:r>
      <w:r w:rsidRPr="0045428C" w:rsidR="0045428C">
        <w:rPr>
          <w:rFonts w:ascii="Calibri" w:hAnsi="Calibri" w:eastAsia="Times New Roman" w:cs="Calibri"/>
          <w:color w:val="000000"/>
        </w:rPr>
        <w:t>online:</w:t>
      </w:r>
      <w:hyperlink w:tgtFrame="_blank" w:history="1" r:id="Rc8f3c74cdc2547da">
        <w:r w:rsidRPr="0045428C" w:rsidR="0045428C">
          <w:rPr>
            <w:rFonts w:ascii="Calibri" w:hAnsi="Calibri" w:eastAsia="Times New Roman" w:cs="Calibri"/>
            <w:color w:val="0000FF"/>
            <w:u w:val="single"/>
            <w:bdr w:val="none" w:color="auto" w:sz="0" w:space="0" w:frame="1"/>
          </w:rPr>
          <w:t>http://www.corestandards.org/read-the-standards/</w:t>
        </w:r>
      </w:hyperlink>
    </w:p>
    <w:p w:rsidRPr="0045428C" w:rsidR="0045428C" w:rsidP="0045428C" w:rsidRDefault="0045428C" w14:paraId="0D1B949A" w14:textId="77777777">
      <w:pPr>
        <w:shd w:val="clear" w:color="auto" w:fill="FFFFFF"/>
        <w:spacing w:after="0" w:line="235" w:lineRule="atLeast"/>
        <w:rPr>
          <w:rFonts w:ascii="Calibri" w:hAnsi="Calibri" w:eastAsia="Times New Roman" w:cs="Calibri"/>
          <w:color w:val="000000"/>
        </w:rPr>
      </w:pPr>
    </w:p>
    <w:p w:rsidRPr="0045428C" w:rsidR="0045428C" w:rsidP="60F4EC10" w:rsidRDefault="0045428C" w14:paraId="4BEC40FE" w14:textId="00D24C22">
      <w:pPr>
        <w:shd w:val="clear" w:color="auto" w:fill="FFFFFF" w:themeFill="background1"/>
        <w:spacing w:after="0" w:line="235" w:lineRule="atLeast"/>
        <w:rPr>
          <w:rFonts w:ascii="Calibri" w:hAnsi="Calibri" w:eastAsia="Times New Roman" w:cs="Calibri"/>
          <w:color w:val="000000" w:themeColor="text1" w:themeTint="FF" w:themeShade="FF"/>
          <w:u w:val="single"/>
        </w:rPr>
      </w:pPr>
      <w:r w:rsidRPr="60F4EC10" w:rsidR="1387959D">
        <w:rPr>
          <w:rFonts w:ascii="Calibri" w:hAnsi="Calibri" w:eastAsia="Times New Roman" w:cs="Calibri"/>
          <w:color w:val="000000" w:themeColor="text1" w:themeTint="FF" w:themeShade="FF"/>
          <w:u w:val="single"/>
        </w:rPr>
        <w:t>Belongings</w:t>
      </w:r>
    </w:p>
    <w:p w:rsidRPr="0045428C" w:rsidR="0045428C" w:rsidP="60F4EC10" w:rsidRDefault="0045428C" w14:paraId="762080DA" w14:textId="5BB58989">
      <w:pPr>
        <w:pStyle w:val="ListParagraph"/>
        <w:numPr>
          <w:ilvl w:val="0"/>
          <w:numId w:val="4"/>
        </w:numPr>
        <w:shd w:val="clear" w:color="auto" w:fill="FFFFFF" w:themeFill="background1"/>
        <w:spacing w:after="0" w:line="235" w:lineRule="atLeast"/>
        <w:rPr>
          <w:rFonts w:ascii="Calibri" w:hAnsi="Calibri" w:eastAsia="Calibri" w:cs="Calibri" w:asciiTheme="minorAscii" w:hAnsiTheme="minorAscii" w:eastAsiaTheme="minorAscii" w:cstheme="minorAscii"/>
          <w:color w:val="000000"/>
          <w:sz w:val="22"/>
          <w:szCs w:val="22"/>
        </w:rPr>
      </w:pPr>
      <w:r w:rsidRPr="60F4EC10" w:rsidR="0045428C">
        <w:rPr>
          <w:rFonts w:ascii="Calibri" w:hAnsi="Calibri" w:eastAsia="Times New Roman" w:cs="Calibri"/>
          <w:color w:val="000000" w:themeColor="text1" w:themeTint="FF" w:themeShade="FF"/>
        </w:rPr>
        <w:t>Please take the opportunity to label your child's belongings before the first day of school. (jackets, lunchbox, etc.)</w:t>
      </w:r>
    </w:p>
    <w:p w:rsidRPr="0045428C" w:rsidR="0045428C" w:rsidP="0045428C" w:rsidRDefault="0045428C" w14:paraId="57FC3224" w14:textId="77777777">
      <w:pPr>
        <w:shd w:val="clear" w:color="auto" w:fill="FFFFFF"/>
        <w:spacing w:after="0" w:line="235" w:lineRule="atLeast"/>
        <w:rPr>
          <w:rFonts w:ascii="Calibri" w:hAnsi="Calibri" w:eastAsia="Times New Roman" w:cs="Calibri"/>
          <w:color w:val="000000"/>
        </w:rPr>
      </w:pPr>
      <w:r w:rsidRPr="0045428C">
        <w:rPr>
          <w:rFonts w:ascii="Calibri" w:hAnsi="Calibri" w:eastAsia="Times New Roman" w:cs="Calibri"/>
          <w:color w:val="000000"/>
        </w:rPr>
        <w:t> </w:t>
      </w:r>
    </w:p>
    <w:p w:rsidRPr="0045428C" w:rsidR="0045428C" w:rsidP="60F4EC10" w:rsidRDefault="0045428C" w14:paraId="2BD2F150" w14:textId="297456AF">
      <w:pPr>
        <w:shd w:val="clear" w:color="auto" w:fill="FFFFFF" w:themeFill="background1"/>
        <w:spacing w:line="235" w:lineRule="atLeast"/>
        <w:rPr>
          <w:rFonts w:ascii="Calibri" w:hAnsi="Calibri" w:eastAsia="Times New Roman" w:cs="Calibri"/>
          <w:color w:val="000000" w:themeColor="text1" w:themeTint="FF" w:themeShade="FF"/>
        </w:rPr>
      </w:pPr>
      <w:r w:rsidRPr="60F4EC10" w:rsidR="0045428C">
        <w:rPr>
          <w:rFonts w:ascii="Calibri" w:hAnsi="Calibri" w:eastAsia="Times New Roman" w:cs="Calibri"/>
          <w:color w:val="000000" w:themeColor="text1" w:themeTint="FF" w:themeShade="FF"/>
          <w:u w:val="single"/>
        </w:rPr>
        <w:t>Growth mindset:</w:t>
      </w:r>
    </w:p>
    <w:p w:rsidRPr="0045428C" w:rsidR="0045428C" w:rsidP="60F4EC10" w:rsidRDefault="0045428C" w14:paraId="011C6E2B" w14:textId="2ED60FF3">
      <w:pPr>
        <w:shd w:val="clear" w:color="auto" w:fill="FFFFFF" w:themeFill="background1"/>
        <w:spacing w:line="235" w:lineRule="atLeast"/>
        <w:rPr>
          <w:rFonts w:ascii="Calibri" w:hAnsi="Calibri" w:eastAsia="Times New Roman" w:cs="Calibri"/>
          <w:color w:val="000000"/>
        </w:rPr>
      </w:pPr>
      <w:r w:rsidRPr="60F4EC10" w:rsidR="0045428C">
        <w:rPr>
          <w:rFonts w:ascii="Calibri" w:hAnsi="Calibri" w:eastAsia="Times New Roman" w:cs="Calibri"/>
          <w:color w:val="000000" w:themeColor="text1" w:themeTint="FF" w:themeShade="FF"/>
        </w:rPr>
        <w:t>Help your child practice independence and responsibility at home. Help them to take on challenges to grow their abilities and show them how to seek out help and collaborate with others. Focus on your child’s problem-solving strategies they use to meet the challenges because this will prepare their brain to grow.</w:t>
      </w:r>
    </w:p>
    <w:p w:rsidR="0068429D" w:rsidP="0045428C" w:rsidRDefault="0045428C" w14:paraId="3ABB07FE" w14:textId="77777777">
      <w:r w:rsidR="0045428C">
        <w:drawing>
          <wp:inline wp14:editId="3DC7195E" wp14:anchorId="4D20AB89">
            <wp:extent cx="1588337" cy="2148926"/>
            <wp:effectExtent l="0" t="0" r="0" b="7620"/>
            <wp:docPr id="1320157310" name="Picture 2" descr="C:\Users\relee2\AppData\Local\Microsoft\Windows\INetCache\Content.MSO\EA329402.tmp" title=""/>
            <wp:cNvGraphicFramePr>
              <a:graphicFrameLocks noChangeAspect="1"/>
            </wp:cNvGraphicFramePr>
            <a:graphic>
              <a:graphicData uri="http://schemas.openxmlformats.org/drawingml/2006/picture">
                <pic:pic>
                  <pic:nvPicPr>
                    <pic:cNvPr id="0" name="Picture 2"/>
                    <pic:cNvPicPr/>
                  </pic:nvPicPr>
                  <pic:blipFill>
                    <a:blip r:embed="Rf8444bad28ba4e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8337" cy="2148926"/>
                    </a:xfrm>
                    <a:prstGeom prst="rect">
                      <a:avLst/>
                    </a:prstGeom>
                  </pic:spPr>
                </pic:pic>
              </a:graphicData>
            </a:graphic>
          </wp:inline>
        </w:drawing>
      </w:r>
      <w:bookmarkStart w:name="_GoBack" w:id="0"/>
      <w:bookmarkEnd w:id="0"/>
    </w:p>
    <w:sectPr w:rsidR="006842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C"/>
    <w:rsid w:val="00220E6D"/>
    <w:rsid w:val="002D406F"/>
    <w:rsid w:val="0045428C"/>
    <w:rsid w:val="00B06CC5"/>
    <w:rsid w:val="0785AB86"/>
    <w:rsid w:val="0E82C39D"/>
    <w:rsid w:val="12C7476A"/>
    <w:rsid w:val="1387959D"/>
    <w:rsid w:val="13E629FC"/>
    <w:rsid w:val="1C8E9A8A"/>
    <w:rsid w:val="1EF854A2"/>
    <w:rsid w:val="27625E75"/>
    <w:rsid w:val="333D3E56"/>
    <w:rsid w:val="39347455"/>
    <w:rsid w:val="3AB0AD27"/>
    <w:rsid w:val="418B45BF"/>
    <w:rsid w:val="518DFFC2"/>
    <w:rsid w:val="58D9DB41"/>
    <w:rsid w:val="59BC6D06"/>
    <w:rsid w:val="5BFE43E8"/>
    <w:rsid w:val="604EF54B"/>
    <w:rsid w:val="60F4EC10"/>
    <w:rsid w:val="6AB7A8A2"/>
    <w:rsid w:val="7BE57247"/>
    <w:rsid w:val="7C9D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D421"/>
  <w15:chartTrackingRefBased/>
  <w15:docId w15:val="{86EE0694-6D3B-4B92-A400-A79B4D59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www.getepic.com/" TargetMode="External" Id="Rd43a5a4c76034e83" /><Relationship Type="http://schemas.openxmlformats.org/officeDocument/2006/relationships/hyperlink" Target="http://www.corestandards.org/read-the-standards/" TargetMode="External" Id="Rc8f3c74cdc2547da" /><Relationship Type="http://schemas.openxmlformats.org/officeDocument/2006/relationships/numbering" Target="/word/numbering.xml" Id="Rda17b8c36be84c57" /><Relationship Type="http://schemas.openxmlformats.org/officeDocument/2006/relationships/image" Target="/media/image2.png" Id="R9ae2f4b4c1b24aaa" /><Relationship Type="http://schemas.openxmlformats.org/officeDocument/2006/relationships/image" Target="/media/image3.png" Id="Rf8444bad28ba4e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iculum" ma:contentTypeID="0x010100C0CD735FA648CC449BE3B8FC794E079300731372A263F8C34490D44EE04AB9FF63" ma:contentTypeVersion="0" ma:contentTypeDescription="Use as default content type, will not have an expiration date for retention." ma:contentTypeScope="" ma:versionID="e8554e5233ec59c4ef7d90065dafdf95">
  <xsd:schema xmlns:xsd="http://www.w3.org/2001/XMLSchema" xmlns:xs="http://www.w3.org/2001/XMLSchema" xmlns:p="http://schemas.microsoft.com/office/2006/metadata/properties" targetNamespace="http://schemas.microsoft.com/office/2006/metadata/properties" ma:root="true" ma:fieldsID="092336fc773d4e58ac1a491e1efa0d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fab9002-9f85-44fc-9072-c5b21ebefbe7" ContentTypeId="0x010100C0CD735FA648CC449BE3B8FC794E079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89E68-7ED0-4964-AFD7-4458AF213025}"/>
</file>

<file path=customXml/itemProps2.xml><?xml version="1.0" encoding="utf-8"?>
<ds:datastoreItem xmlns:ds="http://schemas.openxmlformats.org/officeDocument/2006/customXml" ds:itemID="{3AF18BA2-B873-496E-A13A-E3BAA52D3135}"/>
</file>

<file path=customXml/itemProps3.xml><?xml version="1.0" encoding="utf-8"?>
<ds:datastoreItem xmlns:ds="http://schemas.openxmlformats.org/officeDocument/2006/customXml" ds:itemID="{BA1955ED-3177-4D8A-9054-C12624354A2B}"/>
</file>

<file path=customXml/itemProps4.xml><?xml version="1.0" encoding="utf-8"?>
<ds:datastoreItem xmlns:ds="http://schemas.openxmlformats.org/officeDocument/2006/customXml" ds:itemID="{B8F92EE9-ED4B-45CC-8685-E5C8123AA9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Rebecca</dc:creator>
  <cp:keywords/>
  <dc:description/>
  <cp:lastModifiedBy>Mackey, Sandra</cp:lastModifiedBy>
  <cp:revision>5</cp:revision>
  <dcterms:created xsi:type="dcterms:W3CDTF">2020-05-18T16:46:00Z</dcterms:created>
  <dcterms:modified xsi:type="dcterms:W3CDTF">2020-06-16T16:25:21Z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0x010100C0CD735FA648CC449BE3B8FC794E079300731372A263F8C34490D44EE04AB9FF63</vt:lpwstr>
  </property>
  <property fmtid="{D5CDD505-2E9C-101B-9397-08002B2CF9AE}" pid="3" name="SharedWithUsers">
    <vt:lpwstr>197;#Mackey, Sandra</vt:lpwstr>
  </property>
</Properties>
</file>